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9AEEB" w14:textId="60EB9E24" w:rsidR="004F406E" w:rsidRPr="001F0C7B" w:rsidRDefault="00CC7D0F" w:rsidP="00D56D31">
      <w:pPr>
        <w:jc w:val="center"/>
        <w:rPr>
          <w:b/>
          <w:bCs/>
          <w:sz w:val="36"/>
          <w:szCs w:val="36"/>
        </w:rPr>
      </w:pPr>
      <w:r w:rsidRPr="001F0C7B">
        <w:rPr>
          <w:b/>
          <w:bCs/>
          <w:sz w:val="36"/>
          <w:szCs w:val="36"/>
        </w:rPr>
        <w:t xml:space="preserve">Judicial Indicator Clarifications: </w:t>
      </w:r>
      <w:r w:rsidR="00AC4599" w:rsidRPr="001F0C7B">
        <w:rPr>
          <w:b/>
          <w:bCs/>
          <w:sz w:val="36"/>
          <w:szCs w:val="36"/>
        </w:rPr>
        <w:t xml:space="preserve"> What to Measure</w:t>
      </w:r>
      <w:r w:rsidR="00B4017E">
        <w:br/>
      </w:r>
    </w:p>
    <w:p w14:paraId="3D956C50" w14:textId="1D3BCA5D" w:rsidR="00AC4599" w:rsidRPr="00035D73" w:rsidRDefault="00D56D31">
      <w:pPr>
        <w:rPr>
          <w:b/>
          <w:bCs/>
          <w:color w:val="156082" w:themeColor="accent1"/>
        </w:rPr>
      </w:pPr>
      <w:r w:rsidRPr="00035D73">
        <w:rPr>
          <w:b/>
          <w:bCs/>
          <w:color w:val="156082" w:themeColor="accent1"/>
        </w:rPr>
        <w:t>Investigations vs Prosecutions</w:t>
      </w:r>
      <w:r w:rsidR="00CF137D" w:rsidRPr="00035D73">
        <w:rPr>
          <w:b/>
          <w:bCs/>
          <w:color w:val="156082" w:themeColor="accent1"/>
        </w:rPr>
        <w:t xml:space="preserve"> in Civil Law Countries: </w:t>
      </w:r>
    </w:p>
    <w:p w14:paraId="6088AAFE" w14:textId="40F0DDCB" w:rsidR="00D56D31" w:rsidRPr="00035D73" w:rsidRDefault="0BA110B9" w:rsidP="00D56D31">
      <w:pPr>
        <w:rPr>
          <w:sz w:val="24"/>
        </w:rPr>
      </w:pPr>
      <w:r w:rsidRPr="4C528B94">
        <w:rPr>
          <w:sz w:val="24"/>
        </w:rPr>
        <w:t xml:space="preserve">The investigations and prosecutions data tables are designed to capture distinct phases of the criminal justice process. </w:t>
      </w:r>
      <w:r w:rsidR="3A3D06FD" w:rsidRPr="4C528B94">
        <w:rPr>
          <w:sz w:val="24"/>
        </w:rPr>
        <w:t xml:space="preserve"> </w:t>
      </w:r>
      <w:r w:rsidRPr="4C528B94">
        <w:rPr>
          <w:sz w:val="24"/>
        </w:rPr>
        <w:t>While this distinction is generally straightforward in common law systems such as the United States, many civil law jurisdictions use different procedural frameworks that can make the transition between investigation and prosecution less apparent.</w:t>
      </w:r>
      <w:r w:rsidR="7F936AA0" w:rsidRPr="4C528B94">
        <w:rPr>
          <w:sz w:val="24"/>
        </w:rPr>
        <w:t xml:space="preserve">  </w:t>
      </w:r>
      <w:r w:rsidRPr="4C528B94">
        <w:rPr>
          <w:sz w:val="24"/>
        </w:rPr>
        <w:t>To ensure consistent reporting across legal systems, use the following guidance:</w:t>
      </w:r>
      <w:r w:rsidR="1C2065A0" w:rsidRPr="4C528B94">
        <w:rPr>
          <w:sz w:val="24"/>
        </w:rPr>
        <w:t xml:space="preserve"> </w:t>
      </w:r>
    </w:p>
    <w:p w14:paraId="7614AB83" w14:textId="77777777" w:rsidR="00D56D31" w:rsidRPr="00035D73" w:rsidRDefault="00D56D31" w:rsidP="00D56D31">
      <w:pPr>
        <w:rPr>
          <w:b/>
          <w:bCs/>
          <w:sz w:val="24"/>
          <w:szCs w:val="22"/>
        </w:rPr>
      </w:pPr>
      <w:r w:rsidRPr="00035D73">
        <w:rPr>
          <w:b/>
          <w:bCs/>
          <w:sz w:val="24"/>
          <w:szCs w:val="22"/>
        </w:rPr>
        <w:t>Investigations Table</w:t>
      </w:r>
    </w:p>
    <w:p w14:paraId="32CE83A6" w14:textId="2E6997E8" w:rsidR="00AB24A8" w:rsidRDefault="26EFC64C" w:rsidP="00AB24A8">
      <w:pPr>
        <w:ind w:left="720"/>
        <w:rPr>
          <w:sz w:val="24"/>
        </w:rPr>
      </w:pPr>
      <w:r w:rsidRPr="4C528B94">
        <w:rPr>
          <w:sz w:val="24"/>
        </w:rPr>
        <w:t>Report all investigation files (</w:t>
      </w:r>
      <w:r w:rsidRPr="4C528B94">
        <w:rPr>
          <w:i/>
          <w:iCs/>
          <w:sz w:val="24"/>
        </w:rPr>
        <w:t>Carpetas de Investigación</w:t>
      </w:r>
      <w:r w:rsidRPr="4C528B94">
        <w:rPr>
          <w:sz w:val="24"/>
        </w:rPr>
        <w:t>) opened by attorneys general offices, prosecutors' offices, public ministries,</w:t>
      </w:r>
      <w:r w:rsidR="6EFAB36C" w:rsidRPr="4C528B94">
        <w:rPr>
          <w:sz w:val="24"/>
        </w:rPr>
        <w:t xml:space="preserve"> investigative judges, law enforcement agencies, </w:t>
      </w:r>
      <w:r w:rsidRPr="4C528B94">
        <w:rPr>
          <w:sz w:val="24"/>
        </w:rPr>
        <w:t xml:space="preserve">or other competent authorities. </w:t>
      </w:r>
      <w:r w:rsidR="620CD2CD" w:rsidRPr="4C528B94">
        <w:rPr>
          <w:sz w:val="24"/>
        </w:rPr>
        <w:t xml:space="preserve"> </w:t>
      </w:r>
      <w:r w:rsidR="54FE4D31" w:rsidRPr="4C528B94">
        <w:rPr>
          <w:sz w:val="24"/>
        </w:rPr>
        <w:t xml:space="preserve"> </w:t>
      </w:r>
      <w:r w:rsidRPr="4C528B94">
        <w:rPr>
          <w:sz w:val="24"/>
        </w:rPr>
        <w:t>Include all investigative activities and developments from the opening of the case through the investigative phase, up to the point when the case is presented before a judge for criminal proceedings.</w:t>
      </w:r>
    </w:p>
    <w:p w14:paraId="4A1A9634" w14:textId="3B652879" w:rsidR="00D56D31" w:rsidRPr="00035D73" w:rsidRDefault="00D56D31" w:rsidP="00AB24A8">
      <w:pPr>
        <w:rPr>
          <w:b/>
          <w:bCs/>
          <w:sz w:val="24"/>
          <w:szCs w:val="22"/>
        </w:rPr>
      </w:pPr>
      <w:r w:rsidRPr="00035D73">
        <w:rPr>
          <w:b/>
          <w:bCs/>
          <w:sz w:val="24"/>
          <w:szCs w:val="22"/>
        </w:rPr>
        <w:t>Prosecutions Table</w:t>
      </w:r>
    </w:p>
    <w:p w14:paraId="79012101" w14:textId="3FFA3530" w:rsidR="00D56D31" w:rsidRPr="00035D73" w:rsidRDefault="00D56D31" w:rsidP="00822DF0">
      <w:pPr>
        <w:ind w:left="720"/>
        <w:rPr>
          <w:sz w:val="24"/>
          <w:szCs w:val="22"/>
        </w:rPr>
      </w:pPr>
      <w:r w:rsidRPr="00035D73">
        <w:rPr>
          <w:sz w:val="24"/>
          <w:szCs w:val="22"/>
        </w:rPr>
        <w:t xml:space="preserve">Report </w:t>
      </w:r>
      <w:r w:rsidR="00475DB7">
        <w:rPr>
          <w:sz w:val="24"/>
          <w:szCs w:val="22"/>
        </w:rPr>
        <w:t>cases</w:t>
      </w:r>
      <w:r w:rsidRPr="00035D73">
        <w:rPr>
          <w:sz w:val="24"/>
          <w:szCs w:val="22"/>
        </w:rPr>
        <w:t xml:space="preserve"> beginning </w:t>
      </w:r>
      <w:r w:rsidR="00475DB7">
        <w:rPr>
          <w:sz w:val="24"/>
          <w:szCs w:val="22"/>
        </w:rPr>
        <w:t xml:space="preserve">when a </w:t>
      </w:r>
      <w:r w:rsidRPr="00035D73">
        <w:rPr>
          <w:sz w:val="24"/>
          <w:szCs w:val="22"/>
        </w:rPr>
        <w:t xml:space="preserve">judge issues </w:t>
      </w:r>
      <w:r w:rsidR="00822DF0" w:rsidRPr="00035D73">
        <w:rPr>
          <w:sz w:val="24"/>
          <w:szCs w:val="22"/>
        </w:rPr>
        <w:t xml:space="preserve">a </w:t>
      </w:r>
      <w:r w:rsidRPr="00035D73">
        <w:rPr>
          <w:sz w:val="24"/>
          <w:szCs w:val="22"/>
        </w:rPr>
        <w:t>judicial determination that formally subjects the accused to criminal proceedings</w:t>
      </w:r>
      <w:r w:rsidR="00822DF0" w:rsidRPr="00035D73">
        <w:rPr>
          <w:sz w:val="24"/>
          <w:szCs w:val="22"/>
        </w:rPr>
        <w:t xml:space="preserve"> (a </w:t>
      </w:r>
      <w:r w:rsidR="00822DF0" w:rsidRPr="00035D73">
        <w:rPr>
          <w:b/>
          <w:bCs/>
          <w:sz w:val="24"/>
          <w:szCs w:val="22"/>
        </w:rPr>
        <w:t>vinculación a proceso</w:t>
      </w:r>
      <w:r w:rsidR="006C0210" w:rsidRPr="005F5172">
        <w:rPr>
          <w:sz w:val="24"/>
          <w:szCs w:val="22"/>
        </w:rPr>
        <w:t>, ju</w:t>
      </w:r>
      <w:r w:rsidR="004D46B9" w:rsidRPr="005F5172">
        <w:rPr>
          <w:sz w:val="24"/>
          <w:szCs w:val="22"/>
        </w:rPr>
        <w:t>dicializ</w:t>
      </w:r>
      <w:r w:rsidR="003B7667" w:rsidRPr="005F5172">
        <w:rPr>
          <w:sz w:val="24"/>
          <w:szCs w:val="22"/>
        </w:rPr>
        <w:t>ation</w:t>
      </w:r>
      <w:r w:rsidR="001511B3" w:rsidRPr="005F5172">
        <w:rPr>
          <w:sz w:val="24"/>
          <w:szCs w:val="22"/>
        </w:rPr>
        <w:t>,</w:t>
      </w:r>
      <w:r w:rsidR="00822DF0" w:rsidRPr="00035D73">
        <w:rPr>
          <w:sz w:val="24"/>
          <w:szCs w:val="22"/>
        </w:rPr>
        <w:t xml:space="preserve"> or equivalent)</w:t>
      </w:r>
      <w:r w:rsidR="00AA7F58">
        <w:rPr>
          <w:sz w:val="24"/>
          <w:szCs w:val="22"/>
        </w:rPr>
        <w:t xml:space="preserve">. </w:t>
      </w:r>
      <w:r w:rsidR="00AA7F58" w:rsidRPr="00AA7F58">
        <w:rPr>
          <w:sz w:val="24"/>
          <w:szCs w:val="22"/>
        </w:rPr>
        <w:t>Include all subsequent judicial actions, outcomes, and developments, including hearings, trials, convictions, acquittals, dismissals, appeals, and sentencing.</w:t>
      </w:r>
    </w:p>
    <w:p w14:paraId="5120BD7B" w14:textId="1FE40C3C" w:rsidR="00D56D31" w:rsidRDefault="00C13DD7" w:rsidP="00D56D31">
      <w:pPr>
        <w:rPr>
          <w:sz w:val="24"/>
        </w:rPr>
      </w:pPr>
      <w:r>
        <w:rPr>
          <w:noProof/>
        </w:rPr>
        <w:drawing>
          <wp:inline distT="0" distB="0" distL="0" distR="0" wp14:anchorId="521FD0AA" wp14:editId="38278DDC">
            <wp:extent cx="333375" cy="333375"/>
            <wp:effectExtent l="0" t="0" r="9525" b="9525"/>
            <wp:docPr id="725995597" name="Graphic 2" descr="Lights On with solid fill">
              <a:extLst xmlns:a="http://schemas.openxmlformats.org/drawingml/2006/main">
                <a:ext uri="{FF2B5EF4-FFF2-40B4-BE49-F238E27FC236}">
                  <a16:creationId xmlns:a16="http://schemas.microsoft.com/office/drawing/2014/main" id="{B3ABB179-4A77-46B8-81CF-CFF1570554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995597" name="Graphic 725995597" descr="Lights On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33375" cy="333375"/>
                    </a:xfrm>
                    <a:prstGeom prst="rect">
                      <a:avLst/>
                    </a:prstGeom>
                  </pic:spPr>
                </pic:pic>
              </a:graphicData>
            </a:graphic>
          </wp:inline>
        </w:drawing>
      </w:r>
      <w:r w:rsidR="00D56D31" w:rsidRPr="269A8D87">
        <w:rPr>
          <w:b/>
          <w:bCs/>
          <w:sz w:val="24"/>
        </w:rPr>
        <w:t>Key Reporting Rule for Civil Law Jurisdictions:</w:t>
      </w:r>
      <w:r w:rsidR="00D56D31" w:rsidRPr="269A8D87">
        <w:rPr>
          <w:sz w:val="24"/>
        </w:rPr>
        <w:t xml:space="preserve"> Report all activities occurring before a </w:t>
      </w:r>
      <w:r w:rsidR="49BD23A1" w:rsidRPr="4BEB0E5E">
        <w:rPr>
          <w:sz w:val="24"/>
        </w:rPr>
        <w:t xml:space="preserve">formal </w:t>
      </w:r>
      <w:r w:rsidR="49BD23A1" w:rsidRPr="146AFAAD">
        <w:rPr>
          <w:sz w:val="24"/>
        </w:rPr>
        <w:t xml:space="preserve">order </w:t>
      </w:r>
      <w:r w:rsidR="49BD23A1" w:rsidRPr="61062DE8">
        <w:rPr>
          <w:sz w:val="24"/>
        </w:rPr>
        <w:t xml:space="preserve">commencing </w:t>
      </w:r>
      <w:r w:rsidR="49BD23A1" w:rsidRPr="39257D43">
        <w:rPr>
          <w:sz w:val="24"/>
        </w:rPr>
        <w:t xml:space="preserve">criminal </w:t>
      </w:r>
      <w:r w:rsidR="49BD23A1" w:rsidRPr="5452DFCB">
        <w:rPr>
          <w:sz w:val="24"/>
        </w:rPr>
        <w:t>proceedings (</w:t>
      </w:r>
      <w:r w:rsidR="00D56D31" w:rsidRPr="5452DFCB">
        <w:rPr>
          <w:i/>
          <w:iCs/>
          <w:sz w:val="24"/>
        </w:rPr>
        <w:t>vinculación</w:t>
      </w:r>
      <w:r w:rsidR="00D56D31" w:rsidRPr="269A8D87">
        <w:rPr>
          <w:i/>
          <w:iCs/>
          <w:sz w:val="24"/>
        </w:rPr>
        <w:t xml:space="preserve"> a proceso</w:t>
      </w:r>
      <w:r w:rsidR="00D56D31" w:rsidRPr="269A8D87">
        <w:rPr>
          <w:sz w:val="24"/>
        </w:rPr>
        <w:t xml:space="preserve"> or equivalent</w:t>
      </w:r>
      <w:r w:rsidRPr="4288B968" w:rsidDel="00D56D31">
        <w:rPr>
          <w:sz w:val="24"/>
        </w:rPr>
        <w:t>)</w:t>
      </w:r>
      <w:r w:rsidR="00D56D31" w:rsidRPr="269A8D87">
        <w:rPr>
          <w:sz w:val="24"/>
        </w:rPr>
        <w:t xml:space="preserve"> in the </w:t>
      </w:r>
      <w:r w:rsidR="00D56D31" w:rsidRPr="269A8D87">
        <w:rPr>
          <w:b/>
          <w:bCs/>
          <w:sz w:val="24"/>
        </w:rPr>
        <w:t>Investigations</w:t>
      </w:r>
      <w:r w:rsidR="00D56D31" w:rsidRPr="269A8D87">
        <w:rPr>
          <w:sz w:val="24"/>
        </w:rPr>
        <w:t xml:space="preserve"> table</w:t>
      </w:r>
      <w:r w:rsidR="00AA7F58" w:rsidRPr="269A8D87">
        <w:rPr>
          <w:sz w:val="24"/>
        </w:rPr>
        <w:t xml:space="preserve"> and all activities occurring after the determination in </w:t>
      </w:r>
      <w:r w:rsidR="00D56D31" w:rsidRPr="269A8D87">
        <w:rPr>
          <w:sz w:val="24"/>
        </w:rPr>
        <w:t xml:space="preserve">the </w:t>
      </w:r>
      <w:r w:rsidR="00D56D31" w:rsidRPr="269A8D87">
        <w:rPr>
          <w:b/>
          <w:bCs/>
          <w:sz w:val="24"/>
        </w:rPr>
        <w:t>Prosecutions</w:t>
      </w:r>
      <w:r w:rsidR="00D56D31" w:rsidRPr="269A8D87">
        <w:rPr>
          <w:sz w:val="24"/>
        </w:rPr>
        <w:t xml:space="preserve"> table.</w:t>
      </w:r>
    </w:p>
    <w:p w14:paraId="59AF131A" w14:textId="77777777" w:rsidR="00924FED" w:rsidRPr="00035D73" w:rsidRDefault="00924FED" w:rsidP="00D56D31">
      <w:pPr>
        <w:rPr>
          <w:sz w:val="24"/>
          <w:szCs w:val="22"/>
        </w:rPr>
      </w:pPr>
    </w:p>
    <w:p w14:paraId="78329F43" w14:textId="2A59B67C" w:rsidR="00924FED" w:rsidRPr="00035D73" w:rsidRDefault="00924FED" w:rsidP="00924FED">
      <w:pPr>
        <w:rPr>
          <w:b/>
          <w:bCs/>
          <w:color w:val="156082" w:themeColor="accent1"/>
        </w:rPr>
      </w:pPr>
      <w:r w:rsidRPr="00035D73">
        <w:rPr>
          <w:b/>
          <w:bCs/>
          <w:color w:val="156082" w:themeColor="accent1"/>
        </w:rPr>
        <w:t xml:space="preserve">Investigations </w:t>
      </w:r>
      <w:r w:rsidR="00F77D56">
        <w:rPr>
          <w:b/>
          <w:bCs/>
          <w:color w:val="156082" w:themeColor="accent1"/>
        </w:rPr>
        <w:t>Leads vs Referrals</w:t>
      </w:r>
    </w:p>
    <w:p w14:paraId="089075EF" w14:textId="77777777" w:rsidR="00082DD6" w:rsidRPr="00082DD6" w:rsidRDefault="00082DD6" w:rsidP="00082DD6">
      <w:pPr>
        <w:rPr>
          <w:sz w:val="24"/>
          <w:szCs w:val="22"/>
        </w:rPr>
      </w:pPr>
      <w:r w:rsidRPr="00082DD6">
        <w:rPr>
          <w:sz w:val="24"/>
          <w:szCs w:val="22"/>
        </w:rPr>
        <w:t xml:space="preserve">To ensure consistent reporting, distinguish between </w:t>
      </w:r>
      <w:r w:rsidRPr="00082DD6">
        <w:rPr>
          <w:b/>
          <w:bCs/>
          <w:sz w:val="24"/>
          <w:szCs w:val="22"/>
        </w:rPr>
        <w:t>investigative leads</w:t>
      </w:r>
      <w:r w:rsidRPr="00082DD6">
        <w:rPr>
          <w:sz w:val="24"/>
          <w:szCs w:val="22"/>
        </w:rPr>
        <w:t xml:space="preserve"> and </w:t>
      </w:r>
      <w:r w:rsidRPr="00082DD6">
        <w:rPr>
          <w:b/>
          <w:bCs/>
          <w:sz w:val="24"/>
          <w:szCs w:val="22"/>
        </w:rPr>
        <w:t>referrals</w:t>
      </w:r>
      <w:r w:rsidRPr="00082DD6">
        <w:rPr>
          <w:sz w:val="24"/>
          <w:szCs w:val="22"/>
        </w:rPr>
        <w:t xml:space="preserve"> as follows:</w:t>
      </w:r>
    </w:p>
    <w:p w14:paraId="29091988" w14:textId="54D39DFD" w:rsidR="00082DD6" w:rsidRPr="00082DD6" w:rsidRDefault="06B9EC1B" w:rsidP="002C2382">
      <w:pPr>
        <w:ind w:left="720"/>
        <w:rPr>
          <w:sz w:val="24"/>
        </w:rPr>
      </w:pPr>
      <w:r w:rsidRPr="4C528B94">
        <w:rPr>
          <w:b/>
          <w:bCs/>
          <w:sz w:val="24"/>
        </w:rPr>
        <w:t>Investigative Leads:</w:t>
      </w:r>
      <w:r w:rsidRPr="4C528B94">
        <w:rPr>
          <w:sz w:val="24"/>
        </w:rPr>
        <w:t xml:space="preserve"> </w:t>
      </w:r>
      <w:r w:rsidR="2E6A9708" w:rsidRPr="4C528B94">
        <w:rPr>
          <w:sz w:val="24"/>
        </w:rPr>
        <w:t xml:space="preserve"> </w:t>
      </w:r>
      <w:r w:rsidRPr="4C528B94">
        <w:rPr>
          <w:sz w:val="24"/>
        </w:rPr>
        <w:t xml:space="preserve">Report information that identifies potential criminal activity, persons of interest, suspicious transactions, locations, or other matters that warrant further inquiry or investigation. </w:t>
      </w:r>
      <w:r w:rsidR="1D50F633" w:rsidRPr="4C528B94">
        <w:rPr>
          <w:sz w:val="24"/>
        </w:rPr>
        <w:t xml:space="preserve"> </w:t>
      </w:r>
      <w:r w:rsidRPr="4C528B94">
        <w:rPr>
          <w:sz w:val="24"/>
        </w:rPr>
        <w:t>A lead provides direction for investigative action but does not involve a formal transfer of information or responsibility to another authority.</w:t>
      </w:r>
    </w:p>
    <w:p w14:paraId="5D2549BA" w14:textId="405CD647" w:rsidR="00082DD6" w:rsidRPr="00082DD6" w:rsidRDefault="00082DD6" w:rsidP="002C2382">
      <w:pPr>
        <w:ind w:left="720"/>
        <w:rPr>
          <w:sz w:val="24"/>
          <w:szCs w:val="22"/>
        </w:rPr>
      </w:pPr>
      <w:r w:rsidRPr="00082DD6">
        <w:rPr>
          <w:b/>
          <w:bCs/>
          <w:sz w:val="24"/>
          <w:szCs w:val="22"/>
        </w:rPr>
        <w:t>Referrals:</w:t>
      </w:r>
      <w:r w:rsidRPr="00082DD6">
        <w:rPr>
          <w:sz w:val="24"/>
          <w:szCs w:val="22"/>
        </w:rPr>
        <w:t xml:space="preserve"> </w:t>
      </w:r>
      <w:r w:rsidR="002C2382">
        <w:rPr>
          <w:sz w:val="24"/>
          <w:szCs w:val="22"/>
        </w:rPr>
        <w:t xml:space="preserve"> </w:t>
      </w:r>
      <w:r w:rsidRPr="00082DD6">
        <w:rPr>
          <w:sz w:val="24"/>
          <w:szCs w:val="22"/>
        </w:rPr>
        <w:t>Report cases, allegations, findings, or information that are formally transmitted to another agency, office, jurisdiction, or authority for official action, such as investigation, prosecution, adjudication, or administrative review.</w:t>
      </w:r>
    </w:p>
    <w:p w14:paraId="7A8A3DCF" w14:textId="35EE6C5A" w:rsidR="00082DD6" w:rsidRDefault="54F57175" w:rsidP="00082DD6">
      <w:pPr>
        <w:rPr>
          <w:sz w:val="24"/>
        </w:rPr>
      </w:pPr>
      <w:r>
        <w:rPr>
          <w:noProof/>
        </w:rPr>
        <w:drawing>
          <wp:inline distT="0" distB="0" distL="0" distR="0" wp14:anchorId="57FE2E1F" wp14:editId="2DBDD3E5">
            <wp:extent cx="333375" cy="333375"/>
            <wp:effectExtent l="0" t="0" r="9525" b="9525"/>
            <wp:docPr id="1662023148" name="Graphic 2" descr="Lights On with solid fill">
              <a:extLst xmlns:a="http://schemas.openxmlformats.org/drawingml/2006/main">
                <a:ext uri="{FF2B5EF4-FFF2-40B4-BE49-F238E27FC236}">
                  <a16:creationId xmlns:a16="http://schemas.microsoft.com/office/drawing/2014/main" id="{FDDA5BC8-26E1-46FD-8A81-9F12E84097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995597" name="Graphic 725995597" descr="Lights On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33375" cy="333375"/>
                    </a:xfrm>
                    <a:prstGeom prst="rect">
                      <a:avLst/>
                    </a:prstGeom>
                  </pic:spPr>
                </pic:pic>
              </a:graphicData>
            </a:graphic>
          </wp:inline>
        </w:drawing>
      </w:r>
      <w:r w:rsidR="06B9EC1B" w:rsidRPr="4C528B94">
        <w:rPr>
          <w:b/>
          <w:bCs/>
          <w:sz w:val="24"/>
        </w:rPr>
        <w:t>Key Reporting Rule:</w:t>
      </w:r>
      <w:r w:rsidR="06B9EC1B" w:rsidRPr="4C528B94">
        <w:rPr>
          <w:sz w:val="24"/>
        </w:rPr>
        <w:t xml:space="preserve"> An investigative lead is information that may generate or support investigative activity. </w:t>
      </w:r>
      <w:r w:rsidR="6567A8C0" w:rsidRPr="4C528B94">
        <w:rPr>
          <w:sz w:val="24"/>
        </w:rPr>
        <w:t xml:space="preserve"> </w:t>
      </w:r>
      <w:r w:rsidR="06B9EC1B" w:rsidRPr="4C528B94">
        <w:rPr>
          <w:sz w:val="24"/>
        </w:rPr>
        <w:t xml:space="preserve">A referral is the formal transfer of information to another authority for action. </w:t>
      </w:r>
      <w:r w:rsidR="47CE5BB3" w:rsidRPr="4C528B94">
        <w:rPr>
          <w:sz w:val="24"/>
        </w:rPr>
        <w:t xml:space="preserve"> </w:t>
      </w:r>
      <w:r w:rsidR="06B9EC1B" w:rsidRPr="4C528B94">
        <w:rPr>
          <w:sz w:val="24"/>
        </w:rPr>
        <w:t>A lead may result in a referral, but the two represent distinct stages and should be reported separately.</w:t>
      </w:r>
    </w:p>
    <w:p w14:paraId="7104E5CD" w14:textId="77777777" w:rsidR="009B025C" w:rsidRPr="00082DD6" w:rsidRDefault="009B025C" w:rsidP="00082DD6">
      <w:pPr>
        <w:rPr>
          <w:sz w:val="24"/>
          <w:szCs w:val="22"/>
        </w:rPr>
      </w:pPr>
    </w:p>
    <w:p w14:paraId="4EBA7BCD" w14:textId="545A407C" w:rsidR="009B025C" w:rsidRPr="00035D73" w:rsidRDefault="009B025C" w:rsidP="009B025C">
      <w:pPr>
        <w:rPr>
          <w:b/>
          <w:bCs/>
          <w:color w:val="156082" w:themeColor="accent1"/>
        </w:rPr>
      </w:pPr>
      <w:r>
        <w:rPr>
          <w:b/>
          <w:bCs/>
          <w:color w:val="156082" w:themeColor="accent1"/>
        </w:rPr>
        <w:t xml:space="preserve">Assets Seized, Frozen, </w:t>
      </w:r>
      <w:r w:rsidR="00A82D75">
        <w:rPr>
          <w:b/>
          <w:bCs/>
          <w:color w:val="156082" w:themeColor="accent1"/>
        </w:rPr>
        <w:t>or Forfeited</w:t>
      </w:r>
    </w:p>
    <w:p w14:paraId="48C16C43" w14:textId="77777777" w:rsidR="00B4017E" w:rsidRPr="00B4017E" w:rsidRDefault="00B4017E" w:rsidP="00B4017E">
      <w:pPr>
        <w:rPr>
          <w:sz w:val="24"/>
          <w:szCs w:val="22"/>
        </w:rPr>
      </w:pPr>
      <w:r w:rsidRPr="00B4017E">
        <w:rPr>
          <w:sz w:val="24"/>
          <w:szCs w:val="22"/>
        </w:rPr>
        <w:t xml:space="preserve">Asset seizures and forfeitures should be reported in only </w:t>
      </w:r>
      <w:r w:rsidRPr="00B4017E">
        <w:rPr>
          <w:b/>
          <w:bCs/>
          <w:sz w:val="24"/>
          <w:szCs w:val="22"/>
        </w:rPr>
        <w:t>one</w:t>
      </w:r>
      <w:r w:rsidRPr="00B4017E">
        <w:rPr>
          <w:sz w:val="24"/>
          <w:szCs w:val="22"/>
        </w:rPr>
        <w:t xml:space="preserve"> table to avoid double-counting.</w:t>
      </w:r>
    </w:p>
    <w:p w14:paraId="3F63135E" w14:textId="5F6F71D4" w:rsidR="00B4017E" w:rsidRPr="00B4017E" w:rsidRDefault="44CA4635" w:rsidP="00B4017E">
      <w:pPr>
        <w:ind w:left="720"/>
        <w:rPr>
          <w:sz w:val="24"/>
        </w:rPr>
      </w:pPr>
      <w:r w:rsidRPr="4C528B94">
        <w:rPr>
          <w:b/>
          <w:bCs/>
          <w:sz w:val="24"/>
        </w:rPr>
        <w:t>Civil Asset Forfeiture Table:</w:t>
      </w:r>
      <w:r w:rsidRPr="4C528B94">
        <w:rPr>
          <w:sz w:val="24"/>
        </w:rPr>
        <w:t xml:space="preserve"> Report assets that are ultimately forfeited through civil forfeiture proceedings. </w:t>
      </w:r>
      <w:r w:rsidR="2048C561" w:rsidRPr="4C528B94">
        <w:rPr>
          <w:sz w:val="24"/>
        </w:rPr>
        <w:t xml:space="preserve"> </w:t>
      </w:r>
      <w:r w:rsidRPr="4C528B94">
        <w:rPr>
          <w:sz w:val="24"/>
        </w:rPr>
        <w:t>Include the value of the assets when the forfeiture is completed. Do not also report these assets in the Seizures table.</w:t>
      </w:r>
    </w:p>
    <w:p w14:paraId="56EACC7F" w14:textId="26643F1C" w:rsidR="00B4017E" w:rsidRPr="00B4017E" w:rsidRDefault="44CA4635" w:rsidP="00B4017E">
      <w:pPr>
        <w:ind w:left="720"/>
        <w:rPr>
          <w:sz w:val="24"/>
        </w:rPr>
      </w:pPr>
      <w:r w:rsidRPr="4C528B94">
        <w:rPr>
          <w:b/>
          <w:bCs/>
          <w:sz w:val="24"/>
        </w:rPr>
        <w:t>Criminal Prosecutions Table:</w:t>
      </w:r>
      <w:r w:rsidRPr="4C528B94">
        <w:rPr>
          <w:sz w:val="24"/>
        </w:rPr>
        <w:t xml:space="preserve"> Report assets that are ultimately forfeited as part of a criminal prosecution. </w:t>
      </w:r>
      <w:r w:rsidR="047C9BEB" w:rsidRPr="4C528B94">
        <w:rPr>
          <w:sz w:val="24"/>
        </w:rPr>
        <w:t xml:space="preserve"> </w:t>
      </w:r>
      <w:r w:rsidRPr="4C528B94">
        <w:rPr>
          <w:sz w:val="24"/>
        </w:rPr>
        <w:t>Include the value of the assets when the forfeiture is completed. Do not also report these assets in the Seizures table.</w:t>
      </w:r>
    </w:p>
    <w:p w14:paraId="08B40BB1" w14:textId="3990E223" w:rsidR="00B4017E" w:rsidRPr="00B4017E" w:rsidRDefault="44CA4635" w:rsidP="00B4017E">
      <w:pPr>
        <w:ind w:left="720"/>
        <w:rPr>
          <w:sz w:val="24"/>
        </w:rPr>
      </w:pPr>
      <w:r w:rsidRPr="4C528B94">
        <w:rPr>
          <w:b/>
          <w:bCs/>
          <w:sz w:val="24"/>
        </w:rPr>
        <w:t>Seizures Table:</w:t>
      </w:r>
      <w:r w:rsidRPr="4C528B94">
        <w:rPr>
          <w:sz w:val="24"/>
        </w:rPr>
        <w:t xml:space="preserve"> Report assets seized, frozen, or restrained as a result of law enforcement operations when the primary focus of the activity is the seizure itself rather than supporting a specific civil or criminal forfeiture case. </w:t>
      </w:r>
      <w:r w:rsidR="586E9A78" w:rsidRPr="4C528B94">
        <w:rPr>
          <w:sz w:val="24"/>
        </w:rPr>
        <w:t xml:space="preserve"> </w:t>
      </w:r>
      <w:r w:rsidRPr="4C528B94">
        <w:rPr>
          <w:sz w:val="24"/>
        </w:rPr>
        <w:t>Do not also report these assets in the Civil Asset Forfeiture or Criminal Prosecutions tables.</w:t>
      </w:r>
    </w:p>
    <w:p w14:paraId="7E3139D2" w14:textId="77943944" w:rsidR="00B4017E" w:rsidRPr="00B4017E" w:rsidRDefault="44CA4635" w:rsidP="00B4017E">
      <w:pPr>
        <w:rPr>
          <w:sz w:val="24"/>
        </w:rPr>
      </w:pPr>
      <w:r>
        <w:rPr>
          <w:noProof/>
        </w:rPr>
        <w:drawing>
          <wp:inline distT="0" distB="0" distL="0" distR="0" wp14:anchorId="06F0E716" wp14:editId="086E30E2">
            <wp:extent cx="333375" cy="333375"/>
            <wp:effectExtent l="0" t="0" r="9525" b="9525"/>
            <wp:docPr id="1329561780" name="Graphic 2" descr="Lights On with solid fill">
              <a:extLst xmlns:a="http://schemas.openxmlformats.org/drawingml/2006/main">
                <a:ext uri="{FF2B5EF4-FFF2-40B4-BE49-F238E27FC236}">
                  <a16:creationId xmlns:a16="http://schemas.microsoft.com/office/drawing/2014/main" id="{276AB1DB-CA77-4F87-A40A-21C45F94F0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995597" name="Graphic 725995597" descr="Lights On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33375" cy="333375"/>
                    </a:xfrm>
                    <a:prstGeom prst="rect">
                      <a:avLst/>
                    </a:prstGeom>
                  </pic:spPr>
                </pic:pic>
              </a:graphicData>
            </a:graphic>
          </wp:inline>
        </w:drawing>
      </w:r>
      <w:r w:rsidRPr="4C528B94">
        <w:rPr>
          <w:b/>
          <w:bCs/>
          <w:sz w:val="24"/>
        </w:rPr>
        <w:t>Key Reporting Rule:</w:t>
      </w:r>
      <w:r w:rsidRPr="4C528B94">
        <w:rPr>
          <w:sz w:val="24"/>
        </w:rPr>
        <w:t xml:space="preserve"> If assistance is primarily focused on supporting a civil or criminal asset forfeiture case, report the assets only in the relevant </w:t>
      </w:r>
      <w:r w:rsidRPr="4C528B94">
        <w:rPr>
          <w:b/>
          <w:bCs/>
          <w:sz w:val="24"/>
        </w:rPr>
        <w:t>Civil Asset Forfeiture</w:t>
      </w:r>
      <w:r w:rsidRPr="4C528B94">
        <w:rPr>
          <w:sz w:val="24"/>
        </w:rPr>
        <w:t xml:space="preserve"> or </w:t>
      </w:r>
      <w:r w:rsidRPr="4C528B94">
        <w:rPr>
          <w:b/>
          <w:bCs/>
          <w:sz w:val="24"/>
        </w:rPr>
        <w:t>Criminal Prosecutions</w:t>
      </w:r>
      <w:r w:rsidRPr="4C528B94">
        <w:rPr>
          <w:sz w:val="24"/>
        </w:rPr>
        <w:t xml:space="preserve"> table once forfeiture is completed. </w:t>
      </w:r>
      <w:r w:rsidR="0D5E418F" w:rsidRPr="4C528B94">
        <w:rPr>
          <w:sz w:val="24"/>
        </w:rPr>
        <w:t xml:space="preserve"> </w:t>
      </w:r>
      <w:r w:rsidRPr="4C528B94">
        <w:rPr>
          <w:sz w:val="24"/>
        </w:rPr>
        <w:t xml:space="preserve">If assistance is primarily focused on law enforcement operations that result in assets being seized, frozen, or restrained pending further proceedings, report the assets only in the </w:t>
      </w:r>
      <w:r w:rsidRPr="4C528B94">
        <w:rPr>
          <w:b/>
          <w:bCs/>
          <w:sz w:val="24"/>
        </w:rPr>
        <w:t>Seizures</w:t>
      </w:r>
      <w:r w:rsidRPr="4C528B94">
        <w:rPr>
          <w:sz w:val="24"/>
        </w:rPr>
        <w:t xml:space="preserve"> table.</w:t>
      </w:r>
    </w:p>
    <w:p w14:paraId="77E63AE1" w14:textId="77777777" w:rsidR="00E34594" w:rsidRPr="00E34594" w:rsidRDefault="00E34594">
      <w:pPr>
        <w:rPr>
          <w:sz w:val="24"/>
          <w:szCs w:val="22"/>
        </w:rPr>
      </w:pPr>
    </w:p>
    <w:p w14:paraId="25A97949" w14:textId="77777777" w:rsidR="004F5D1A" w:rsidRDefault="004F5D1A">
      <w:pPr>
        <w:rPr>
          <w:sz w:val="24"/>
          <w:szCs w:val="22"/>
        </w:rPr>
      </w:pPr>
    </w:p>
    <w:p w14:paraId="253ECEE5" w14:textId="77777777" w:rsidR="005306A4" w:rsidRPr="00035D73" w:rsidRDefault="005306A4" w:rsidP="004F5D1A">
      <w:pPr>
        <w:rPr>
          <w:sz w:val="24"/>
          <w:szCs w:val="22"/>
        </w:rPr>
      </w:pPr>
    </w:p>
    <w:sectPr w:rsidR="005306A4" w:rsidRPr="00035D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932A7B"/>
    <w:multiLevelType w:val="hybridMultilevel"/>
    <w:tmpl w:val="01F455EE"/>
    <w:lvl w:ilvl="0" w:tplc="AC70B00A">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338889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D1A"/>
    <w:rsid w:val="00002CE7"/>
    <w:rsid w:val="00035D73"/>
    <w:rsid w:val="00072A6E"/>
    <w:rsid w:val="00082DD6"/>
    <w:rsid w:val="0009049B"/>
    <w:rsid w:val="000C2A94"/>
    <w:rsid w:val="001511B3"/>
    <w:rsid w:val="00151599"/>
    <w:rsid w:val="0015252C"/>
    <w:rsid w:val="00186A75"/>
    <w:rsid w:val="00191CC1"/>
    <w:rsid w:val="001F0C7B"/>
    <w:rsid w:val="00230E54"/>
    <w:rsid w:val="00274F97"/>
    <w:rsid w:val="002941D0"/>
    <w:rsid w:val="002C2382"/>
    <w:rsid w:val="002C5B87"/>
    <w:rsid w:val="002D61F0"/>
    <w:rsid w:val="002E56F7"/>
    <w:rsid w:val="0031776B"/>
    <w:rsid w:val="00393C26"/>
    <w:rsid w:val="003B7667"/>
    <w:rsid w:val="00400D23"/>
    <w:rsid w:val="00456DA0"/>
    <w:rsid w:val="00475DB7"/>
    <w:rsid w:val="004A0052"/>
    <w:rsid w:val="004A3589"/>
    <w:rsid w:val="004D46B9"/>
    <w:rsid w:val="004E5E00"/>
    <w:rsid w:val="004F406E"/>
    <w:rsid w:val="004F5D1A"/>
    <w:rsid w:val="005306A4"/>
    <w:rsid w:val="005719CA"/>
    <w:rsid w:val="005B4EFA"/>
    <w:rsid w:val="005D01E2"/>
    <w:rsid w:val="005F5172"/>
    <w:rsid w:val="005F6921"/>
    <w:rsid w:val="006C0210"/>
    <w:rsid w:val="007428CC"/>
    <w:rsid w:val="007570B4"/>
    <w:rsid w:val="007E35A8"/>
    <w:rsid w:val="00817DC6"/>
    <w:rsid w:val="00822DF0"/>
    <w:rsid w:val="00905D2D"/>
    <w:rsid w:val="00924FED"/>
    <w:rsid w:val="00932EDB"/>
    <w:rsid w:val="009B025C"/>
    <w:rsid w:val="00A10035"/>
    <w:rsid w:val="00A475E3"/>
    <w:rsid w:val="00A60207"/>
    <w:rsid w:val="00A7445E"/>
    <w:rsid w:val="00A82D75"/>
    <w:rsid w:val="00AA7F58"/>
    <w:rsid w:val="00AB24A8"/>
    <w:rsid w:val="00AC4599"/>
    <w:rsid w:val="00AD70B8"/>
    <w:rsid w:val="00B4017E"/>
    <w:rsid w:val="00B71EB4"/>
    <w:rsid w:val="00BB4675"/>
    <w:rsid w:val="00BCB3BA"/>
    <w:rsid w:val="00C03D4F"/>
    <w:rsid w:val="00C04845"/>
    <w:rsid w:val="00C13DD7"/>
    <w:rsid w:val="00C26EA3"/>
    <w:rsid w:val="00C67B8F"/>
    <w:rsid w:val="00C75783"/>
    <w:rsid w:val="00C87A8F"/>
    <w:rsid w:val="00CA5581"/>
    <w:rsid w:val="00CB35E7"/>
    <w:rsid w:val="00CC7D0F"/>
    <w:rsid w:val="00CF137D"/>
    <w:rsid w:val="00D0275D"/>
    <w:rsid w:val="00D13100"/>
    <w:rsid w:val="00D56D31"/>
    <w:rsid w:val="00E34594"/>
    <w:rsid w:val="00F0747C"/>
    <w:rsid w:val="00F30513"/>
    <w:rsid w:val="00F77D56"/>
    <w:rsid w:val="00FC3C5D"/>
    <w:rsid w:val="010584D0"/>
    <w:rsid w:val="047C9BEB"/>
    <w:rsid w:val="056DB318"/>
    <w:rsid w:val="057CDE5B"/>
    <w:rsid w:val="06B9EC1B"/>
    <w:rsid w:val="0BA110B9"/>
    <w:rsid w:val="0D5E418F"/>
    <w:rsid w:val="0F98408B"/>
    <w:rsid w:val="146AFAAD"/>
    <w:rsid w:val="1C2065A0"/>
    <w:rsid w:val="1D50F633"/>
    <w:rsid w:val="1DA94E63"/>
    <w:rsid w:val="2048C561"/>
    <w:rsid w:val="269A8D87"/>
    <w:rsid w:val="26EFC64C"/>
    <w:rsid w:val="29A16E38"/>
    <w:rsid w:val="2BBE2A35"/>
    <w:rsid w:val="2E0B385B"/>
    <w:rsid w:val="2E6A9708"/>
    <w:rsid w:val="39257D43"/>
    <w:rsid w:val="3A3D06FD"/>
    <w:rsid w:val="40ABEA51"/>
    <w:rsid w:val="4288B968"/>
    <w:rsid w:val="44CA4635"/>
    <w:rsid w:val="47CE5BB3"/>
    <w:rsid w:val="4904D302"/>
    <w:rsid w:val="49BD23A1"/>
    <w:rsid w:val="4BEB0E5E"/>
    <w:rsid w:val="4C528B94"/>
    <w:rsid w:val="5452DFCB"/>
    <w:rsid w:val="54F57175"/>
    <w:rsid w:val="54FE4D31"/>
    <w:rsid w:val="586E9A78"/>
    <w:rsid w:val="61062DE8"/>
    <w:rsid w:val="620CD2CD"/>
    <w:rsid w:val="6567A8C0"/>
    <w:rsid w:val="6EFAB36C"/>
    <w:rsid w:val="6FBBB28E"/>
    <w:rsid w:val="75198E81"/>
    <w:rsid w:val="7788AD01"/>
    <w:rsid w:val="7A487F4E"/>
    <w:rsid w:val="7D1B5C0B"/>
    <w:rsid w:val="7F936AA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5FE63DF"/>
  <w15:chartTrackingRefBased/>
  <w15:docId w15:val="{3C78AC39-7DFE-4E05-BF0F-7AFC7FFE4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5D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5D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5D1A"/>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4F5D1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F5D1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F5D1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F5D1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F5D1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F5D1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5D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5D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5D1A"/>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4F5D1A"/>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F5D1A"/>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F5D1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F5D1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F5D1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F5D1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F5D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5D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5D1A"/>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4F5D1A"/>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4F5D1A"/>
    <w:pPr>
      <w:spacing w:before="160"/>
      <w:jc w:val="center"/>
    </w:pPr>
    <w:rPr>
      <w:i/>
      <w:iCs/>
      <w:color w:val="404040" w:themeColor="text1" w:themeTint="BF"/>
    </w:rPr>
  </w:style>
  <w:style w:type="character" w:customStyle="1" w:styleId="QuoteChar">
    <w:name w:val="Quote Char"/>
    <w:basedOn w:val="DefaultParagraphFont"/>
    <w:link w:val="Quote"/>
    <w:uiPriority w:val="29"/>
    <w:rsid w:val="004F5D1A"/>
    <w:rPr>
      <w:i/>
      <w:iCs/>
      <w:color w:val="404040" w:themeColor="text1" w:themeTint="BF"/>
    </w:rPr>
  </w:style>
  <w:style w:type="paragraph" w:styleId="ListParagraph">
    <w:name w:val="List Paragraph"/>
    <w:basedOn w:val="Normal"/>
    <w:uiPriority w:val="34"/>
    <w:qFormat/>
    <w:rsid w:val="004F5D1A"/>
    <w:pPr>
      <w:ind w:left="720"/>
      <w:contextualSpacing/>
    </w:pPr>
  </w:style>
  <w:style w:type="character" w:styleId="IntenseEmphasis">
    <w:name w:val="Intense Emphasis"/>
    <w:basedOn w:val="DefaultParagraphFont"/>
    <w:uiPriority w:val="21"/>
    <w:qFormat/>
    <w:rsid w:val="004F5D1A"/>
    <w:rPr>
      <w:i/>
      <w:iCs/>
      <w:color w:val="0F4761" w:themeColor="accent1" w:themeShade="BF"/>
    </w:rPr>
  </w:style>
  <w:style w:type="paragraph" w:styleId="IntenseQuote">
    <w:name w:val="Intense Quote"/>
    <w:basedOn w:val="Normal"/>
    <w:next w:val="Normal"/>
    <w:link w:val="IntenseQuoteChar"/>
    <w:uiPriority w:val="30"/>
    <w:qFormat/>
    <w:rsid w:val="004F5D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5D1A"/>
    <w:rPr>
      <w:i/>
      <w:iCs/>
      <w:color w:val="0F4761" w:themeColor="accent1" w:themeShade="BF"/>
    </w:rPr>
  </w:style>
  <w:style w:type="character" w:styleId="IntenseReference">
    <w:name w:val="Intense Reference"/>
    <w:basedOn w:val="DefaultParagraphFont"/>
    <w:uiPriority w:val="32"/>
    <w:qFormat/>
    <w:rsid w:val="004F5D1A"/>
    <w:rPr>
      <w:b/>
      <w:bCs/>
      <w:smallCaps/>
      <w:color w:val="0F4761" w:themeColor="accent1" w:themeShade="BF"/>
      <w:spacing w:val="5"/>
    </w:rPr>
  </w:style>
  <w:style w:type="character" w:styleId="CommentReference">
    <w:name w:val="annotation reference"/>
    <w:basedOn w:val="DefaultParagraphFont"/>
    <w:uiPriority w:val="99"/>
    <w:semiHidden/>
    <w:unhideWhenUsed/>
    <w:rsid w:val="005B4EFA"/>
    <w:rPr>
      <w:sz w:val="16"/>
      <w:szCs w:val="16"/>
    </w:rPr>
  </w:style>
  <w:style w:type="paragraph" w:styleId="CommentText">
    <w:name w:val="annotation text"/>
    <w:basedOn w:val="Normal"/>
    <w:link w:val="CommentTextChar"/>
    <w:uiPriority w:val="99"/>
    <w:unhideWhenUsed/>
    <w:rsid w:val="005B4EFA"/>
    <w:pPr>
      <w:spacing w:line="240" w:lineRule="auto"/>
    </w:pPr>
    <w:rPr>
      <w:sz w:val="20"/>
      <w:szCs w:val="20"/>
    </w:rPr>
  </w:style>
  <w:style w:type="character" w:customStyle="1" w:styleId="CommentTextChar">
    <w:name w:val="Comment Text Char"/>
    <w:basedOn w:val="DefaultParagraphFont"/>
    <w:link w:val="CommentText"/>
    <w:uiPriority w:val="99"/>
    <w:rsid w:val="005B4EFA"/>
    <w:rPr>
      <w:sz w:val="20"/>
      <w:szCs w:val="20"/>
    </w:rPr>
  </w:style>
  <w:style w:type="paragraph" w:styleId="CommentSubject">
    <w:name w:val="annotation subject"/>
    <w:basedOn w:val="CommentText"/>
    <w:next w:val="CommentText"/>
    <w:link w:val="CommentSubjectChar"/>
    <w:uiPriority w:val="99"/>
    <w:semiHidden/>
    <w:unhideWhenUsed/>
    <w:rsid w:val="005B4EFA"/>
    <w:rPr>
      <w:b/>
      <w:bCs/>
    </w:rPr>
  </w:style>
  <w:style w:type="character" w:customStyle="1" w:styleId="CommentSubjectChar">
    <w:name w:val="Comment Subject Char"/>
    <w:basedOn w:val="CommentTextChar"/>
    <w:link w:val="CommentSubject"/>
    <w:uiPriority w:val="99"/>
    <w:semiHidden/>
    <w:rsid w:val="005B4EF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BE57113097E44794F62961C7649CF0" ma:contentTypeVersion="22" ma:contentTypeDescription="Create a new document." ma:contentTypeScope="" ma:versionID="5b57823cba0f0bc690b756137d0a0e0c">
  <xsd:schema xmlns:xsd="http://www.w3.org/2001/XMLSchema" xmlns:xs="http://www.w3.org/2001/XMLSchema" xmlns:p="http://schemas.microsoft.com/office/2006/metadata/properties" xmlns:ns2="fa4edcb1-06d5-4489-9173-3edf2b15c1ff" xmlns:ns3="b90e8d16-1326-4936-951d-e49359117440" targetNamespace="http://schemas.microsoft.com/office/2006/metadata/properties" ma:root="true" ma:fieldsID="8b636694904412c9360bb531e60724d0" ns2:_="" ns3:_="">
    <xsd:import namespace="fa4edcb1-06d5-4489-9173-3edf2b15c1ff"/>
    <xsd:import namespace="b90e8d16-1326-4936-951d-e4935911744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Location" minOccurs="0"/>
                <xsd:element ref="ns2:MediaLengthInSeconds" minOccurs="0"/>
                <xsd:element ref="ns2:MediaServiceObjectDetectorVersions" minOccurs="0"/>
                <xsd:element ref="ns2:Test" minOccurs="0"/>
                <xsd:element ref="ns2:MediaServiceSearchProperties" minOccurs="0"/>
                <xsd:element ref="ns2:Notes" minOccurs="0"/>
                <xsd:element ref="ns2:IDRequired" minOccurs="0"/>
                <xsd:element ref="ns2:UpdatesMade" minOccurs="0"/>
                <xsd:element ref="ns2:MediaServiceBillingMetadata" minOccurs="0"/>
                <xsd:element ref="ns2:Writethecontentinthisfolderhere_x002e__x002e__x002e__x002e_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4edcb1-06d5-4489-9173-3edf2b15c1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Test" ma:index="23" nillable="true" ma:displayName="Test" ma:format="Dropdown" ma:internalName="Test">
      <xsd:simpleType>
        <xsd:restriction base="dms:Choice">
          <xsd:enumeration value="Record"/>
          <xsd:enumeration value="Temp"/>
          <xsd:enumeration value="Choice 3"/>
        </xsd:restrictio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Notes" ma:index="25" nillable="true" ma:displayName="Notes " ma:description="No application " ma:format="Dropdown" ma:internalName="Notes">
      <xsd:simpleType>
        <xsd:restriction base="dms:Text">
          <xsd:maxLength value="255"/>
        </xsd:restriction>
      </xsd:simpleType>
    </xsd:element>
    <xsd:element name="IDRequired" ma:index="26" nillable="true" ma:displayName="ID Required" ma:description="Include that copy of ID is also requested with form" ma:format="Dropdown" ma:internalName="IDRequired">
      <xsd:simpleType>
        <xsd:restriction base="dms:Text">
          <xsd:maxLength value="255"/>
        </xsd:restriction>
      </xsd:simpleType>
    </xsd:element>
    <xsd:element name="UpdatesMade" ma:index="27" nillable="true" ma:displayName="Updates Made" ma:format="Dropdown" ma:internalName="UpdatesMade">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Writethecontentinthisfolderhere_x002e__x002e__x002e__x002e__x002e_" ma:index="29" nillable="true" ma:displayName="Description of Content" ma:format="Dropdown" ma:internalName="Writethecontentinthisfolderhere_x002e__x002e__x002e__x002e__x002e_">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90e8d16-1326-4936-951d-e4935911744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a2145abc-f7ac-4a33-b9b2-39a93b616be8}" ma:internalName="TaxCatchAll" ma:showField="CatchAllData" ma:web="b90e8d16-1326-4936-951d-e493591174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Writethecontentinthisfolderhere_x002e__x002e__x002e__x002e__x002e_ xmlns="fa4edcb1-06d5-4489-9173-3edf2b15c1ff" xsi:nil="true"/>
    <UpdatesMade xmlns="fa4edcb1-06d5-4489-9173-3edf2b15c1ff" xsi:nil="true"/>
    <TaxCatchAll xmlns="b90e8d16-1326-4936-951d-e49359117440" xsi:nil="true"/>
    <Notes xmlns="fa4edcb1-06d5-4489-9173-3edf2b15c1ff" xsi:nil="true"/>
    <IDRequired xmlns="fa4edcb1-06d5-4489-9173-3edf2b15c1ff" xsi:nil="true"/>
    <lcf76f155ced4ddcb4097134ff3c332f xmlns="fa4edcb1-06d5-4489-9173-3edf2b15c1ff">
      <Terms xmlns="http://schemas.microsoft.com/office/infopath/2007/PartnerControls"/>
    </lcf76f155ced4ddcb4097134ff3c332f>
    <Test xmlns="fa4edcb1-06d5-4489-9173-3edf2b15c1ff" xsi:nil="true"/>
  </documentManagement>
</p:properties>
</file>

<file path=customXml/itemProps1.xml><?xml version="1.0" encoding="utf-8"?>
<ds:datastoreItem xmlns:ds="http://schemas.openxmlformats.org/officeDocument/2006/customXml" ds:itemID="{C6102271-2344-4358-A601-76B7493683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4edcb1-06d5-4489-9173-3edf2b15c1ff"/>
    <ds:schemaRef ds:uri="b90e8d16-1326-4936-951d-e493591174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A1B653-2C54-4367-816E-52E3F91A39A4}">
  <ds:schemaRefs>
    <ds:schemaRef ds:uri="http://schemas.microsoft.com/sharepoint/v3/contenttype/forms"/>
  </ds:schemaRefs>
</ds:datastoreItem>
</file>

<file path=customXml/itemProps3.xml><?xml version="1.0" encoding="utf-8"?>
<ds:datastoreItem xmlns:ds="http://schemas.openxmlformats.org/officeDocument/2006/customXml" ds:itemID="{BF97167F-47A0-41FE-BA13-6A1B9ABB8EDD}">
  <ds:schemaRefs>
    <ds:schemaRef ds:uri="http://schemas.microsoft.com/office/2006/metadata/properties"/>
    <ds:schemaRef ds:uri="http://schemas.microsoft.com/office/infopath/2007/PartnerControls"/>
    <ds:schemaRef ds:uri="fa4edcb1-06d5-4489-9173-3edf2b15c1ff"/>
    <ds:schemaRef ds:uri="b90e8d16-1326-4936-951d-e4935911744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Department of State</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Ventura, Rosemary K</dc:creator>
  <cp:keywords/>
  <dc:description/>
  <cp:lastModifiedBy>Andersson, Stephen D</cp:lastModifiedBy>
  <cp:revision>3</cp:revision>
  <dcterms:created xsi:type="dcterms:W3CDTF">2026-06-15T20:03:00Z</dcterms:created>
  <dcterms:modified xsi:type="dcterms:W3CDTF">2026-06-16T17:05:00Z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2026-06-15T14:00:41Z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b72aaab5-971d-4257-8561-446888fa8942</vt:lpwstr>
  </property>
  <property fmtid="{D5CDD505-2E9C-101B-9397-08002B2CF9AE}" pid="8" name="MSIP_Label_1665d9ee-429a-4d5f-97cc-cfb56e044a6e_ContentBits">
    <vt:lpwstr>0</vt:lpwstr>
  </property>
  <property fmtid="{D5CDD505-2E9C-101B-9397-08002B2CF9AE}" pid="9" name="MSIP_Label_1665d9ee-429a-4d5f-97cc-cfb56e044a6e_Tag">
    <vt:lpwstr>10, 0, 1, 1</vt:lpwstr>
  </property>
  <property fmtid="{D5CDD505-2E9C-101B-9397-08002B2CF9AE}" pid="10" name="ContentTypeId">
    <vt:lpwstr>0x01010005BE57113097E44794F62961C7649CF0</vt:lpwstr>
  </property>
  <property fmtid="{D5CDD505-2E9C-101B-9397-08002B2CF9AE}" pid="11" name="MediaServiceImageTags">
    <vt:lpwstr/>
  </property>
</Properties>
</file>